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4F37" w14:textId="77777777" w:rsidR="00A510AA" w:rsidRDefault="00A510AA">
      <w:pPr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69ABBE28" w14:textId="77777777" w:rsidR="007B0C9A" w:rsidRP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1961CD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Федеральное государственное научное бюджетное учреждение</w:t>
      </w:r>
    </w:p>
    <w:p w14:paraId="7CAAE1D0" w14:textId="77777777" w:rsidR="001961CD" w:rsidRP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1961CD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«Научный центр психического здоровья»</w:t>
      </w:r>
    </w:p>
    <w:p w14:paraId="42A5EE3C" w14:textId="77777777" w:rsidR="007B0C9A" w:rsidRPr="001961CD" w:rsidRDefault="007B0C9A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14:paraId="72B14F6E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174134C9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3B92C661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08D15C65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62D24A68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387D6F11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3F1ABF9C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003594C0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22982B65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42C58A86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2F600DD3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12FF14A6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5EC7D23C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32D92EE6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50E904FF" w14:textId="77777777" w:rsidR="007B0C9A" w:rsidRDefault="007B0C9A" w:rsidP="00A510A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16718381" w14:textId="77777777" w:rsidR="00557A3E" w:rsidRDefault="00A510AA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proofErr w:type="gramStart"/>
      <w:r w:rsidRPr="001961CD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Алгоритмы  ранней</w:t>
      </w:r>
      <w:proofErr w:type="gramEnd"/>
      <w:r w:rsidRPr="001961CD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диагностики нарушений пищевого поведения</w:t>
      </w:r>
    </w:p>
    <w:p w14:paraId="1BCEAFAD" w14:textId="77777777" w:rsid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14:paraId="63364215" w14:textId="77777777" w:rsid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14:paraId="33920F59" w14:textId="77777777" w:rsidR="001961CD" w:rsidRP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961C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Учебно-методическое пособие</w:t>
      </w:r>
    </w:p>
    <w:p w14:paraId="05639C82" w14:textId="77777777" w:rsid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14:paraId="5977CC2A" w14:textId="77777777" w:rsid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14:paraId="63E05626" w14:textId="1ADA11B2" w:rsidR="001961CD" w:rsidRDefault="001961CD" w:rsidP="0019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961C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А.Н. Бархатова</w:t>
      </w:r>
    </w:p>
    <w:p w14:paraId="3AE5A6D7" w14:textId="55FDB4C2" w:rsidR="0021342B" w:rsidRPr="001961CD" w:rsidRDefault="0021342B" w:rsidP="0019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А.О. Русанова (Смольникова) </w:t>
      </w:r>
    </w:p>
    <w:p w14:paraId="3055E96A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AE859C7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EC91210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2C6E9DF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406E5CF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7AAE8D9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2B3C4F2" w14:textId="77777777" w:rsidR="00A510AA" w:rsidRDefault="00A510AA" w:rsidP="00A510A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59731E8" w14:textId="77777777" w:rsidR="00A510AA" w:rsidRPr="007671C0" w:rsidRDefault="00A510AA" w:rsidP="00A510A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46281BF" w14:textId="3E288E34" w:rsidR="00A510AA" w:rsidRPr="001961CD" w:rsidRDefault="00A510AA" w:rsidP="00A510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61CD">
        <w:rPr>
          <w:rFonts w:ascii="Times New Roman" w:hAnsi="Times New Roman" w:cs="Times New Roman"/>
          <w:b/>
          <w:sz w:val="28"/>
          <w:szCs w:val="24"/>
        </w:rPr>
        <w:t>Мо</w:t>
      </w:r>
      <w:r w:rsidR="007B0C9A" w:rsidRPr="001961CD">
        <w:rPr>
          <w:rFonts w:ascii="Times New Roman" w:hAnsi="Times New Roman" w:cs="Times New Roman"/>
          <w:b/>
          <w:sz w:val="28"/>
          <w:szCs w:val="24"/>
        </w:rPr>
        <w:t>сква 20</w:t>
      </w:r>
      <w:r w:rsidR="0021342B">
        <w:rPr>
          <w:rFonts w:ascii="Times New Roman" w:hAnsi="Times New Roman" w:cs="Times New Roman"/>
          <w:b/>
          <w:sz w:val="28"/>
          <w:szCs w:val="24"/>
        </w:rPr>
        <w:t>19</w:t>
      </w:r>
    </w:p>
    <w:p w14:paraId="02186EE2" w14:textId="77777777" w:rsidR="00A510AA" w:rsidRDefault="00A510AA">
      <w:pPr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7E627631" w14:textId="77777777" w:rsidR="00A510AA" w:rsidRDefault="00A510AA">
      <w:pPr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225D2872" w14:textId="77777777" w:rsidR="00A510AA" w:rsidRPr="00A510AA" w:rsidRDefault="00A510AA">
      <w:pPr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6AE56485" w14:textId="77777777" w:rsidR="00745262" w:rsidRDefault="00745262" w:rsidP="00745262">
      <w:pPr>
        <w:tabs>
          <w:tab w:val="left" w:pos="0"/>
        </w:tabs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7D4E2A9D" w14:textId="77777777" w:rsidR="00745262" w:rsidRDefault="00745262" w:rsidP="00745262">
      <w:pPr>
        <w:tabs>
          <w:tab w:val="left" w:pos="0"/>
        </w:tabs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</w:p>
    <w:p w14:paraId="3AC5C33E" w14:textId="77777777" w:rsidR="007B0C9A" w:rsidRPr="007B0C9A" w:rsidRDefault="007B0C9A" w:rsidP="007B0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0C9A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14:paraId="4FE00541" w14:textId="77777777" w:rsidR="007B0C9A" w:rsidRPr="007B0C9A" w:rsidRDefault="007B0C9A" w:rsidP="007B0C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0C9A">
        <w:rPr>
          <w:rFonts w:ascii="Times New Roman" w:hAnsi="Times New Roman" w:cs="Times New Roman"/>
          <w:sz w:val="28"/>
          <w:szCs w:val="24"/>
        </w:rPr>
        <w:t>1.Введение ----------------------------------------------</w:t>
      </w:r>
      <w:r w:rsidR="001961CD">
        <w:rPr>
          <w:rFonts w:ascii="Times New Roman" w:hAnsi="Times New Roman" w:cs="Times New Roman"/>
          <w:sz w:val="28"/>
          <w:szCs w:val="24"/>
        </w:rPr>
        <w:t>---------------------------стр.4</w:t>
      </w:r>
      <w:r w:rsidRPr="007B0C9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0365F62" w14:textId="77777777" w:rsidR="007B0C9A" w:rsidRPr="007B0C9A" w:rsidRDefault="007B0C9A" w:rsidP="007B0C9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0C9A">
        <w:rPr>
          <w:rFonts w:ascii="Times New Roman" w:hAnsi="Times New Roman" w:cs="Times New Roman"/>
          <w:b/>
          <w:sz w:val="28"/>
          <w:szCs w:val="24"/>
        </w:rPr>
        <w:t>2.</w:t>
      </w:r>
      <w:r w:rsidRPr="007B0C9A">
        <w:rPr>
          <w:rFonts w:ascii="Times New Roman" w:hAnsi="Times New Roman" w:cs="Times New Roman"/>
          <w:sz w:val="28"/>
          <w:szCs w:val="24"/>
        </w:rPr>
        <w:t>Основная часть-----------------------------------------------------------------стр</w:t>
      </w:r>
      <w:r w:rsidR="001961CD">
        <w:rPr>
          <w:rFonts w:ascii="Times New Roman" w:hAnsi="Times New Roman" w:cs="Times New Roman"/>
          <w:sz w:val="28"/>
          <w:szCs w:val="24"/>
        </w:rPr>
        <w:t>.5</w:t>
      </w:r>
    </w:p>
    <w:p w14:paraId="20F62B77" w14:textId="77777777" w:rsidR="007B0C9A" w:rsidRPr="007B0C9A" w:rsidRDefault="007B0C9A" w:rsidP="007B0C9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0C9A">
        <w:rPr>
          <w:rFonts w:ascii="Times New Roman" w:hAnsi="Times New Roman" w:cs="Times New Roman"/>
          <w:sz w:val="28"/>
          <w:szCs w:val="24"/>
        </w:rPr>
        <w:t>3. Заключение--------------------------------------------------------------------с</w:t>
      </w:r>
      <w:r w:rsidR="001961CD">
        <w:rPr>
          <w:rFonts w:ascii="Times New Roman" w:hAnsi="Times New Roman" w:cs="Times New Roman"/>
          <w:sz w:val="28"/>
          <w:szCs w:val="24"/>
        </w:rPr>
        <w:t>тр. 12</w:t>
      </w:r>
    </w:p>
    <w:p w14:paraId="1EEE272F" w14:textId="77777777" w:rsidR="007B0C9A" w:rsidRPr="007B0C9A" w:rsidRDefault="007B0C9A" w:rsidP="007B0C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0C9A">
        <w:rPr>
          <w:rFonts w:ascii="Times New Roman" w:hAnsi="Times New Roman" w:cs="Times New Roman"/>
          <w:sz w:val="28"/>
          <w:szCs w:val="24"/>
        </w:rPr>
        <w:t>4.  Список использованных источников------------------------------------стр.</w:t>
      </w:r>
      <w:r w:rsidR="001961CD">
        <w:rPr>
          <w:rFonts w:ascii="Times New Roman" w:hAnsi="Times New Roman" w:cs="Times New Roman"/>
          <w:sz w:val="28"/>
          <w:szCs w:val="24"/>
        </w:rPr>
        <w:t>16</w:t>
      </w:r>
    </w:p>
    <w:p w14:paraId="3161FD55" w14:textId="77777777" w:rsidR="007B0C9A" w:rsidRPr="007B0C9A" w:rsidRDefault="007B0C9A" w:rsidP="007B0C9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74075C1" w14:textId="77777777" w:rsidR="007B0C9A" w:rsidRPr="007B0C9A" w:rsidRDefault="007B0C9A" w:rsidP="007B0C9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EF238B8" w14:textId="77777777" w:rsidR="007B0C9A" w:rsidRPr="007B0C9A" w:rsidRDefault="007B0C9A" w:rsidP="007B0C9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D76A8E2" w14:textId="77777777" w:rsidR="007B0C9A" w:rsidRPr="007B0C9A" w:rsidRDefault="007B0C9A" w:rsidP="007B0C9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C39CF39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30CFB7D7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2BCC8FCB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61B52CAB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7E7F98B9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0012F409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7228B670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1EEBD73C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58ACD351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79339EF1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4C657F8F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6CDB5C1A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36693267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7CBF750D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57FA798B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3F15B338" w14:textId="77777777" w:rsidR="007B0C9A" w:rsidRDefault="007B0C9A" w:rsidP="007B0C9A">
      <w:pPr>
        <w:spacing w:line="240" w:lineRule="auto"/>
        <w:rPr>
          <w:rFonts w:cs="Arial"/>
          <w:b/>
          <w:sz w:val="24"/>
          <w:szCs w:val="24"/>
        </w:rPr>
      </w:pPr>
    </w:p>
    <w:p w14:paraId="3E89507F" w14:textId="77777777" w:rsidR="00745262" w:rsidRPr="007B0C9A" w:rsidRDefault="00745262" w:rsidP="007B0C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C9A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34E1FA38" w14:textId="77777777" w:rsidR="00660FDA" w:rsidRPr="007B0C9A" w:rsidRDefault="00745262" w:rsidP="007B0C9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C9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B0C9A">
        <w:rPr>
          <w:rFonts w:ascii="Times New Roman" w:hAnsi="Times New Roman" w:cs="Times New Roman"/>
          <w:sz w:val="28"/>
          <w:szCs w:val="28"/>
        </w:rPr>
        <w:t xml:space="preserve"> </w:t>
      </w:r>
      <w:r w:rsidR="00660FDA" w:rsidRPr="007B0C9A">
        <w:rPr>
          <w:rFonts w:ascii="Times New Roman" w:hAnsi="Times New Roman" w:cs="Times New Roman"/>
          <w:sz w:val="28"/>
          <w:szCs w:val="28"/>
        </w:rPr>
        <w:t xml:space="preserve">Нарушения пищевого поведения. анорексии, булимия, эндогенные расстройства, </w:t>
      </w:r>
      <w:proofErr w:type="spellStart"/>
      <w:r w:rsidR="00660FDA" w:rsidRPr="007B0C9A">
        <w:rPr>
          <w:rFonts w:ascii="Times New Roman" w:hAnsi="Times New Roman" w:cs="Times New Roman"/>
          <w:sz w:val="28"/>
          <w:szCs w:val="28"/>
        </w:rPr>
        <w:t>шизотипическое</w:t>
      </w:r>
      <w:proofErr w:type="spellEnd"/>
      <w:r w:rsidR="00660FDA" w:rsidRPr="007B0C9A">
        <w:rPr>
          <w:rFonts w:ascii="Times New Roman" w:hAnsi="Times New Roman" w:cs="Times New Roman"/>
          <w:sz w:val="28"/>
          <w:szCs w:val="28"/>
        </w:rPr>
        <w:t xml:space="preserve"> расстройство, депрессия</w:t>
      </w:r>
    </w:p>
    <w:p w14:paraId="5C490744" w14:textId="77777777" w:rsidR="00660FDA" w:rsidRPr="007B0C9A" w:rsidRDefault="00745262" w:rsidP="007B0C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C9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B0C9A">
        <w:rPr>
          <w:rFonts w:ascii="Times New Roman" w:hAnsi="Times New Roman" w:cs="Times New Roman"/>
          <w:sz w:val="28"/>
          <w:szCs w:val="28"/>
        </w:rPr>
        <w:t xml:space="preserve"> больные эндогенными расстройствами</w:t>
      </w:r>
      <w:r w:rsidR="00660FDA" w:rsidRPr="007B0C9A">
        <w:rPr>
          <w:rFonts w:ascii="Times New Roman" w:hAnsi="Times New Roman" w:cs="Times New Roman"/>
          <w:sz w:val="28"/>
          <w:szCs w:val="28"/>
        </w:rPr>
        <w:t xml:space="preserve"> аффективного и шизофренического спектра</w:t>
      </w:r>
      <w:r w:rsidRPr="007B0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C9A">
        <w:rPr>
          <w:rFonts w:ascii="Times New Roman" w:hAnsi="Times New Roman" w:cs="Times New Roman"/>
          <w:sz w:val="28"/>
          <w:szCs w:val="28"/>
        </w:rPr>
        <w:t>циклотимоподобными</w:t>
      </w:r>
      <w:proofErr w:type="spellEnd"/>
      <w:r w:rsidRPr="007B0C9A">
        <w:rPr>
          <w:rFonts w:ascii="Times New Roman" w:hAnsi="Times New Roman" w:cs="Times New Roman"/>
          <w:sz w:val="28"/>
          <w:szCs w:val="28"/>
        </w:rPr>
        <w:t xml:space="preserve"> расстройствами, </w:t>
      </w:r>
      <w:r w:rsidR="00660FDA" w:rsidRPr="007B0C9A">
        <w:rPr>
          <w:rFonts w:ascii="Times New Roman" w:hAnsi="Times New Roman" w:cs="Times New Roman"/>
          <w:sz w:val="28"/>
          <w:szCs w:val="28"/>
        </w:rPr>
        <w:t>протекающими с проявлениями феномена нарушения пищевого поведения.</w:t>
      </w:r>
    </w:p>
    <w:p w14:paraId="78A89C22" w14:textId="77777777" w:rsidR="00ED3129" w:rsidRPr="007B0C9A" w:rsidRDefault="00ED3129" w:rsidP="007B0C9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ABBC9" w14:textId="77777777" w:rsidR="00745262" w:rsidRPr="007B0C9A" w:rsidRDefault="00745262" w:rsidP="007B0C9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2FC8A" w14:textId="77777777" w:rsidR="00ED3129" w:rsidRPr="007B0C9A" w:rsidRDefault="00ED3129" w:rsidP="007B0C9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Обозначения и сокращения:</w:t>
      </w:r>
    </w:p>
    <w:p w14:paraId="4E1F10F9" w14:textId="77777777" w:rsidR="00745262" w:rsidRPr="007B0C9A" w:rsidRDefault="00ED3129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ЭД- эндогенная депрессия</w:t>
      </w:r>
    </w:p>
    <w:p w14:paraId="18DB0E4E" w14:textId="77777777" w:rsidR="00ED3129" w:rsidRPr="007B0C9A" w:rsidRDefault="00ED3129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НПП – нарушения пищевого поведения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НА- нервная анорексия</w:t>
      </w:r>
    </w:p>
    <w:p w14:paraId="26C084C1" w14:textId="77777777" w:rsidR="00ED3129" w:rsidRPr="007B0C9A" w:rsidRDefault="00ED3129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НБ- нервная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булемия</w:t>
      </w:r>
      <w:proofErr w:type="spellEnd"/>
    </w:p>
    <w:p w14:paraId="42B19F5A" w14:textId="77777777" w:rsidR="00ED3129" w:rsidRPr="007B0C9A" w:rsidRDefault="00ED3129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КП-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компульсивное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переедание</w:t>
      </w:r>
    </w:p>
    <w:p w14:paraId="333B2539" w14:textId="77777777" w:rsidR="00ED3129" w:rsidRPr="007B0C9A" w:rsidRDefault="00ED3129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ИМТ- индекс массы тела</w:t>
      </w:r>
    </w:p>
    <w:p w14:paraId="7F0FDA43" w14:textId="77777777" w:rsidR="00745262" w:rsidRPr="007B0C9A" w:rsidRDefault="004E5855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 – биполярное аффективное расстройство</w:t>
      </w:r>
    </w:p>
    <w:p w14:paraId="1E354563" w14:textId="77777777" w:rsidR="004E5855" w:rsidRPr="007B0C9A" w:rsidRDefault="004E5855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РДР- рекуррентное депрессивное расстройство</w:t>
      </w:r>
    </w:p>
    <w:p w14:paraId="7CB3A2FB" w14:textId="77777777" w:rsidR="00C9750D" w:rsidRPr="007B0C9A" w:rsidRDefault="00C9750D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ИМТ- индекс массы тела</w:t>
      </w:r>
    </w:p>
    <w:p w14:paraId="128063FC" w14:textId="77777777" w:rsidR="004E5855" w:rsidRPr="007B0C9A" w:rsidRDefault="004E5855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886421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763EED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58C404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64B6F4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CB7EE3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CFB8E9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F59272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FFE40C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DC88E2" w14:textId="77777777" w:rsidR="007B0C9A" w:rsidRDefault="007B0C9A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7C2ED9" w14:textId="77777777" w:rsidR="00ED3129" w:rsidRPr="007B0C9A" w:rsidRDefault="00ED3129" w:rsidP="007B0C9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14:paraId="2E1E38A3" w14:textId="77777777" w:rsidR="00F671B3" w:rsidRPr="007B0C9A" w:rsidRDefault="007B0C9A" w:rsidP="007B0C9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0AA" w:rsidRPr="007B0C9A">
        <w:rPr>
          <w:rFonts w:ascii="Times New Roman" w:hAnsi="Times New Roman" w:cs="Times New Roman"/>
          <w:sz w:val="28"/>
          <w:szCs w:val="28"/>
        </w:rPr>
        <w:t xml:space="preserve">Нарушения пищевого поведения представляют собой феноменологически </w:t>
      </w:r>
      <w:proofErr w:type="gramStart"/>
      <w:r w:rsidR="00A510AA" w:rsidRPr="007B0C9A">
        <w:rPr>
          <w:rFonts w:ascii="Times New Roman" w:hAnsi="Times New Roman" w:cs="Times New Roman"/>
          <w:sz w:val="28"/>
          <w:szCs w:val="28"/>
        </w:rPr>
        <w:t>гетерогенную  группу</w:t>
      </w:r>
      <w:proofErr w:type="gram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состояний, объединенных сверхценным отношением к собственной, болезненным опасением избыточной массы тела, искажением восприятия образа собственного тела радикальными методами контроля массы и/или формы тела. К этой группе расстройств относят нервную анорексию, нервную </w:t>
      </w:r>
      <w:proofErr w:type="gramStart"/>
      <w:r w:rsidR="00A510AA" w:rsidRPr="007B0C9A">
        <w:rPr>
          <w:rFonts w:ascii="Times New Roman" w:hAnsi="Times New Roman" w:cs="Times New Roman"/>
          <w:sz w:val="28"/>
          <w:szCs w:val="28"/>
        </w:rPr>
        <w:t>булимию  и</w:t>
      </w:r>
      <w:proofErr w:type="gram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AA" w:rsidRPr="007B0C9A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переедание. Для данной группы расстройств характерны выраженные биологические (полиорганная недостаточность, атрофия мозга и внутренних органов, бесплодие и пр.) и психосоциальные последствия: высокая психиатрическая </w:t>
      </w:r>
      <w:proofErr w:type="spellStart"/>
      <w:r w:rsidR="00A510AA" w:rsidRPr="007B0C9A">
        <w:rPr>
          <w:rFonts w:ascii="Times New Roman" w:hAnsi="Times New Roman" w:cs="Times New Roman"/>
          <w:sz w:val="28"/>
          <w:szCs w:val="28"/>
        </w:rPr>
        <w:t>коморбидность</w:t>
      </w:r>
      <w:proofErr w:type="spell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, отстраненность от активной социальной жизни, высокая вероятность смертельных исходов, обусловленная как суицидальным риском, так и соматическими осложнениями и </w:t>
      </w:r>
      <w:proofErr w:type="gramStart"/>
      <w:r w:rsidR="00A510AA" w:rsidRPr="007B0C9A">
        <w:rPr>
          <w:rFonts w:ascii="Times New Roman" w:hAnsi="Times New Roman" w:cs="Times New Roman"/>
          <w:sz w:val="28"/>
          <w:szCs w:val="28"/>
        </w:rPr>
        <w:t>пр..</w:t>
      </w:r>
      <w:proofErr w:type="gram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В этой связи разработка алгоритмов ранней диагностики нарушений пищевого поведения у пациентов с эндогенными психическим расстройствами, </w:t>
      </w:r>
      <w:proofErr w:type="gramStart"/>
      <w:r w:rsidR="00A510AA" w:rsidRPr="007B0C9A">
        <w:rPr>
          <w:rFonts w:ascii="Times New Roman" w:hAnsi="Times New Roman" w:cs="Times New Roman"/>
          <w:sz w:val="28"/>
          <w:szCs w:val="28"/>
        </w:rPr>
        <w:t>и в частности</w:t>
      </w:r>
      <w:proofErr w:type="gram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с депрессией представляется актуальной и своевременной задачей. С этой целью были выделены параметры позволяющие оценить динамику значимых клинико-психологических маркеров нарушения пищевого поведения и группы факторов, влияющие на характер прогноза состояния пациентов. Были выделены «особые» профили психопатологической симптоматики, </w:t>
      </w:r>
      <w:proofErr w:type="gramStart"/>
      <w:r w:rsidR="00A510AA" w:rsidRPr="007B0C9A">
        <w:rPr>
          <w:rFonts w:ascii="Times New Roman" w:hAnsi="Times New Roman" w:cs="Times New Roman"/>
          <w:sz w:val="28"/>
          <w:szCs w:val="28"/>
        </w:rPr>
        <w:t>устанавливаемые  в</w:t>
      </w:r>
      <w:proofErr w:type="gram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динамике наблюдения у больных с нарушениями пищевого поведения, в частности для депрессивных больных была характерна высокая частота тревожных расстройств, </w:t>
      </w:r>
      <w:r w:rsidR="004D059B" w:rsidRPr="007B0C9A">
        <w:rPr>
          <w:rFonts w:ascii="Times New Roman" w:hAnsi="Times New Roman" w:cs="Times New Roman"/>
          <w:sz w:val="28"/>
          <w:szCs w:val="28"/>
        </w:rPr>
        <w:t>расстройств влечений</w:t>
      </w:r>
      <w:r w:rsidR="00A510AA" w:rsidRPr="007B0C9A">
        <w:rPr>
          <w:rFonts w:ascii="Times New Roman" w:hAnsi="Times New Roman" w:cs="Times New Roman"/>
          <w:sz w:val="28"/>
          <w:szCs w:val="28"/>
        </w:rPr>
        <w:t xml:space="preserve">, </w:t>
      </w:r>
      <w:r w:rsidR="00A510AA" w:rsidRPr="007B0C9A">
        <w:rPr>
          <w:rFonts w:ascii="Times New Roman" w:eastAsia="Calibri" w:hAnsi="Times New Roman" w:cs="Times New Roman"/>
          <w:sz w:val="28"/>
          <w:szCs w:val="28"/>
        </w:rPr>
        <w:t xml:space="preserve">в группе </w:t>
      </w:r>
      <w:r w:rsidR="00A510AA" w:rsidRPr="007B0C9A">
        <w:rPr>
          <w:rFonts w:ascii="Times New Roman" w:hAnsi="Times New Roman" w:cs="Times New Roman"/>
          <w:sz w:val="28"/>
          <w:szCs w:val="28"/>
        </w:rPr>
        <w:t xml:space="preserve">больных с </w:t>
      </w:r>
      <w:proofErr w:type="spellStart"/>
      <w:r w:rsidR="00A510AA" w:rsidRPr="007B0C9A">
        <w:rPr>
          <w:rFonts w:ascii="Times New Roman" w:hAnsi="Times New Roman" w:cs="Times New Roman"/>
          <w:sz w:val="28"/>
          <w:szCs w:val="28"/>
        </w:rPr>
        <w:t>шизотипическим</w:t>
      </w:r>
      <w:proofErr w:type="spell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расстройством более частыми оказались </w:t>
      </w:r>
      <w:r w:rsidR="00A510AA" w:rsidRPr="007B0C9A">
        <w:rPr>
          <w:rFonts w:ascii="Times New Roman" w:eastAsia="Calibri" w:hAnsi="Times New Roman" w:cs="Times New Roman"/>
          <w:sz w:val="28"/>
          <w:szCs w:val="28"/>
        </w:rPr>
        <w:t>фобии и обсессивно-</w:t>
      </w:r>
      <w:proofErr w:type="spellStart"/>
      <w:r w:rsidR="00A510AA" w:rsidRPr="007B0C9A">
        <w:rPr>
          <w:rFonts w:ascii="Times New Roman" w:eastAsia="Calibri" w:hAnsi="Times New Roman" w:cs="Times New Roman"/>
          <w:sz w:val="28"/>
          <w:szCs w:val="28"/>
        </w:rPr>
        <w:t>компульсивные</w:t>
      </w:r>
      <w:proofErr w:type="spellEnd"/>
      <w:r w:rsidR="00A510AA" w:rsidRPr="007B0C9A">
        <w:rPr>
          <w:rFonts w:ascii="Times New Roman" w:eastAsia="Calibri" w:hAnsi="Times New Roman" w:cs="Times New Roman"/>
          <w:sz w:val="28"/>
          <w:szCs w:val="28"/>
        </w:rPr>
        <w:t xml:space="preserve"> расстройства</w:t>
      </w:r>
      <w:r w:rsidR="00A510AA" w:rsidRPr="007B0C9A">
        <w:rPr>
          <w:rFonts w:ascii="Times New Roman" w:hAnsi="Times New Roman" w:cs="Times New Roman"/>
          <w:sz w:val="28"/>
          <w:szCs w:val="28"/>
        </w:rPr>
        <w:t xml:space="preserve">. Кроме </w:t>
      </w:r>
      <w:proofErr w:type="gramStart"/>
      <w:r w:rsidR="00A510AA" w:rsidRPr="007B0C9A">
        <w:rPr>
          <w:rFonts w:ascii="Times New Roman" w:hAnsi="Times New Roman" w:cs="Times New Roman"/>
          <w:sz w:val="28"/>
          <w:szCs w:val="28"/>
        </w:rPr>
        <w:t>того,  проведен</w:t>
      </w:r>
      <w:proofErr w:type="gramEnd"/>
      <w:r w:rsidR="00A510AA" w:rsidRPr="007B0C9A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A510AA" w:rsidRPr="007B0C9A">
        <w:rPr>
          <w:rFonts w:ascii="Times New Roman" w:eastAsia="Calibri" w:hAnsi="Times New Roman" w:cs="Times New Roman"/>
          <w:sz w:val="28"/>
          <w:szCs w:val="28"/>
        </w:rPr>
        <w:t>данны</w:t>
      </w:r>
      <w:r w:rsidR="00A510AA" w:rsidRPr="007B0C9A">
        <w:rPr>
          <w:rFonts w:ascii="Times New Roman" w:hAnsi="Times New Roman" w:cs="Times New Roman"/>
          <w:sz w:val="28"/>
          <w:szCs w:val="28"/>
        </w:rPr>
        <w:t>х</w:t>
      </w:r>
      <w:r w:rsidR="00A510AA" w:rsidRPr="007B0C9A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A510AA" w:rsidRPr="007B0C9A">
        <w:rPr>
          <w:rFonts w:ascii="Times New Roman" w:hAnsi="Times New Roman" w:cs="Times New Roman"/>
          <w:sz w:val="28"/>
          <w:szCs w:val="28"/>
        </w:rPr>
        <w:t>генетической, семейной патологии</w:t>
      </w:r>
      <w:r w:rsidR="00A510AA" w:rsidRPr="007B0C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510AA" w:rsidRPr="007B0C9A">
        <w:rPr>
          <w:rFonts w:ascii="Times New Roman" w:hAnsi="Times New Roman" w:cs="Times New Roman"/>
          <w:sz w:val="28"/>
          <w:szCs w:val="28"/>
        </w:rPr>
        <w:t>личностных изменений</w:t>
      </w:r>
      <w:r w:rsidR="00A510AA" w:rsidRPr="007B0C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510AA" w:rsidRPr="007B0C9A">
        <w:rPr>
          <w:rFonts w:ascii="Times New Roman" w:hAnsi="Times New Roman" w:cs="Times New Roman"/>
          <w:sz w:val="28"/>
          <w:szCs w:val="28"/>
        </w:rPr>
        <w:t>реализацию манифестации расстройств пищевого поведения</w:t>
      </w:r>
      <w:r w:rsidR="00F671B3" w:rsidRPr="007B0C9A">
        <w:rPr>
          <w:rFonts w:ascii="Times New Roman" w:hAnsi="Times New Roman" w:cs="Times New Roman"/>
          <w:sz w:val="28"/>
          <w:szCs w:val="28"/>
        </w:rPr>
        <w:t>.</w:t>
      </w:r>
    </w:p>
    <w:p w14:paraId="586F9E14" w14:textId="77777777" w:rsidR="007B0C9A" w:rsidRDefault="007B0C9A" w:rsidP="007B0C9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104F70" w14:textId="77777777" w:rsidR="007B0C9A" w:rsidRDefault="007B0C9A" w:rsidP="007B0C9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C4644B" w14:textId="77777777" w:rsidR="00F671B3" w:rsidRPr="007B0C9A" w:rsidRDefault="00F671B3" w:rsidP="007B0C9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часть.</w:t>
      </w:r>
    </w:p>
    <w:p w14:paraId="5A48343D" w14:textId="77777777" w:rsidR="00B120C8" w:rsidRPr="007B0C9A" w:rsidRDefault="00B120C8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 распространенности расстройств пищевого поведения разнятся как с учетом анализируемых выборок (по возрасту, полу,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культуральным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различиям, роду занятий), так и используемых методов оценки. Подлинную распространенность расстройства определить трудно также в связи с тем, что пациенты склонны часто скрывать свои симптомы. На протяжении жизни риск развития у женщины синдрома нервной анорексии составляет около 3%. Распространенность нервной анорексии у женщин на протяжении жизни в целом составляет 0,5–3,7% (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субклинических форм) </w:t>
      </w:r>
      <w:proofErr w:type="gramStart"/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[ 1</w:t>
      </w:r>
      <w:proofErr w:type="gramEnd"/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а нервной булимии – 1,1–4,2% [3].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распространенности расстройств пищевого поведения (в т.ч. нервной анорексии) в странах СНГ крайне скудны и существенно не отличаются от общемировых тенденций. Современные эпидемиологические данные свидетельствуют, что вероятность полного выздоровления при нарушениях пищевого по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относительно невелика [4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1F08DB55" w14:textId="77777777" w:rsidR="006334F4" w:rsidRPr="007B0C9A" w:rsidRDefault="006334F4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Клиническая психиатрическая практика считает целесообразным рассматривать нарушения пищевого поведения как широкий спектр проявлений в рамках континуума между нервной анорексией (НА) и нервной булимией (НБ). В целом, нарушения пищевого поведения характеризуются выраженной озабоченностью массой и формами собственного тела, сопровождающейся чрезмерными попытками их контроля. Поведенческий паттерн при нервной анорексии характеризуется сознательным отказом от пищи, чаще с целью коррекции внешности в связи с убежденностью в чрезмерной полноте. В свою очередь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булимические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определяются повторяющимися приступами переедания и чрезмерной озабоченностью контролирования веса тела, что приводит больного к принятию крайних мер для смягч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«полнящего» влияния съеден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пищи. </w:t>
      </w:r>
    </w:p>
    <w:p w14:paraId="31D3172F" w14:textId="77777777" w:rsidR="00E1793D" w:rsidRPr="007B0C9A" w:rsidRDefault="00EC4805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проводимого исследования состояла в изучении структуры и динамики аффективных расстройств у больных с нарушениями пищевого поведения на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этапах эндогенного заболевания и с разработкой комплексных </w:t>
      </w:r>
      <w:proofErr w:type="gram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дифференцированных  подходов</w:t>
      </w:r>
      <w:proofErr w:type="gram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диагностике феномена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нрушения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пищевого поведения (НПП). В течение 2015-2016 г были обследованы 54 больных с нарушениями пищевого поведения, которые обратились за </w:t>
      </w:r>
      <w:proofErr w:type="gram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 клинику</w:t>
      </w:r>
      <w:proofErr w:type="gram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ФГБНЦ НЦПЗ и затем наблюдались амбулаторно. 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пациенты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женщины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первичном обследовании у 11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(20,3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э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расстройства были в структуре аффективных фаз при ведущем диагнозе расстройства личности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МКБ-10 рубрики F</w:t>
      </w:r>
      <w:proofErr w:type="gramStart"/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60….</w:t>
      </w:r>
      <w:proofErr w:type="gramEnd"/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остальных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случаях речь шла о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шизотипическом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расстройстве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 (27,7%)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МКБ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 рубрика F21.3 — F21.4, 2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 с диагнозом эндогенной депрессии в рамках </w:t>
      </w:r>
      <w:r w:rsidR="005C69B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БАР, РДР, МДЭ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85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F31-  F</w:t>
      </w:r>
      <w:r w:rsidR="005C69B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болезни к мо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менту обращения составляла от 1-2 до 8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(среднее — 4,3 года).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госпитализации дефицит массы тела выявлялся у 44 (81,5%) пациентов. </w:t>
      </w:r>
    </w:p>
    <w:p w14:paraId="0A2D2E9C" w14:textId="77777777" w:rsidR="00996300" w:rsidRPr="007B0C9A" w:rsidRDefault="00EC4805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клинико-психопатологического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для выявления и оценки выраженности аффективны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расстройств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применялась шкала депрессии Гамильтона (HAM-D)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ИМТ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261C38F" w14:textId="77777777" w:rsidR="00E1793D" w:rsidRPr="007B0C9A" w:rsidRDefault="00996300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пациенток выявлялись нарушения менструального цикла, аменорея была зарегистрирована у 33 (61%) больных. Отмечались также нарушения со стороны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(гипотония, тахикардия, аритмия), желудочно-кишечного тракта (гастриты, гастродуодениты, колиты), анемия и трофические изменения (сухость и шелушение кожных покровов, ломкость ногтей и волос, кариес). У пациенток с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булимическими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расстройствами выявлялись значительные нарушения водно-электролитного баланса, в двух случаях были </w:t>
      </w:r>
      <w:proofErr w:type="gram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отмечены  сиалоадениты</w:t>
      </w:r>
      <w:proofErr w:type="gram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97F0DB" w14:textId="77777777" w:rsidR="00996300" w:rsidRPr="007B0C9A" w:rsidRDefault="00142145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гетерогенности нарушений пищевого поведения позволяет формально выделять внутри основных диагностических категорий дополнительные категории. </w:t>
      </w:r>
    </w:p>
    <w:p w14:paraId="0EFFEC56" w14:textId="77777777" w:rsidR="00142145" w:rsidRPr="007B0C9A" w:rsidRDefault="00142145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нервной анорексии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наличия/отсутствия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булимических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симптомов выделены подтипы:  </w:t>
      </w:r>
    </w:p>
    <w:p w14:paraId="0B1A6381" w14:textId="77777777" w:rsidR="00142145" w:rsidRPr="007B0C9A" w:rsidRDefault="00142145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с ограничениями в режиме питания</w:t>
      </w:r>
      <w:r w:rsidR="00DD54C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63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</w:t>
      </w:r>
      <w:r w:rsidR="00DD54C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феномена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нервной анорексии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наблюдается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эпизодов переедания или, так называемого, «компенсаторного поведения» по типу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самовызывания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рвоты, приема слабительных средств, диуретиков, использования клизм;  </w:t>
      </w:r>
    </w:p>
    <w:p w14:paraId="0E68118D" w14:textId="77777777" w:rsidR="00142145" w:rsidRPr="007B0C9A" w:rsidRDefault="00142145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 эпизодами переедания или компенсаторного поведения, либо только компенсаторное поведение без предшествующего переедания. </w:t>
      </w:r>
    </w:p>
    <w:p w14:paraId="4975FEDA" w14:textId="77777777" w:rsidR="00142145" w:rsidRPr="007B0C9A" w:rsidRDefault="00DD54C3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Феномен нервной булимии</w:t>
      </w:r>
      <w:r w:rsidR="009963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подразделялся 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характеристик «компенсаторного поведения» на:  </w:t>
      </w:r>
    </w:p>
    <w:p w14:paraId="4EBEC69D" w14:textId="77777777" w:rsidR="00142145" w:rsidRPr="007B0C9A" w:rsidRDefault="00142145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НБ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компенсатор</w:t>
      </w:r>
      <w:r w:rsidR="009963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(очистительным) поведением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в текущем эпизоде нервной булимии пациент регулярно индуцирует рвоту или использует слабительные, диуретики, клизмы;  </w:t>
      </w:r>
    </w:p>
    <w:p w14:paraId="07D65193" w14:textId="77777777" w:rsidR="00996300" w:rsidRPr="007B0C9A" w:rsidRDefault="00996300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НБ 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очистительного поведения, когда пациент использует иные неадекватные паттерны компенсаторного поведения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изнуряющие физические нагрузки, пост и пр.), но не индуцирует регулярно рвоту, не использует слабительные, диуретики и клизмы. </w:t>
      </w:r>
    </w:p>
    <w:p w14:paraId="44043464" w14:textId="77777777" w:rsidR="00142145" w:rsidRPr="007B0C9A" w:rsidRDefault="00996300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выделена </w:t>
      </w:r>
      <w:proofErr w:type="gram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подгруппа  расстройств</w:t>
      </w:r>
      <w:proofErr w:type="gram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где </w:t>
      </w:r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proofErr w:type="spellStart"/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булимических</w:t>
      </w:r>
      <w:proofErr w:type="spellEnd"/>
      <w:r w:rsidR="0014214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эпизодов практически отсутству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«компенсаторное поведение».</w:t>
      </w:r>
    </w:p>
    <w:p w14:paraId="705ABECF" w14:textId="77777777" w:rsidR="00996300" w:rsidRPr="007B0C9A" w:rsidRDefault="00996300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все пациенты с НПП пытались добиться снижения массы тела путем ограничения в еде, в дальнейшем использовались другие способы похудания: прием слабительных и мочегонных препаратов, искусственное вызывание рвот, изнуряющие физические упражнения.</w:t>
      </w:r>
    </w:p>
    <w:p w14:paraId="64570D46" w14:textId="77777777" w:rsidR="00996300" w:rsidRPr="007B0C9A" w:rsidRDefault="00996300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ведущей нозологической формы были выделены три группы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A51CDA" w14:textId="77777777" w:rsidR="00C9750D" w:rsidRPr="007B0C9A" w:rsidRDefault="00996300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пациентов </w:t>
      </w: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расстройствами личности, на </w:t>
      </w:r>
      <w:proofErr w:type="gramStart"/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этапе  декомпенсации</w:t>
      </w:r>
      <w:proofErr w:type="gramEnd"/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виде аффективных фаз с НПП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 б-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Особенностью данной группы являлся достаточно широкий возрастной диапазон с преобладанием больных в возрасте 16—23 лет. Наследственная отягощенность психическими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заболеваниями была выявлена у 4 (27,5%) пациенток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пациенток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отмечались такие </w:t>
      </w:r>
      <w:proofErr w:type="spellStart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преморбидные</w:t>
      </w:r>
      <w:proofErr w:type="spellEnd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личности, как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демонстративность, перфекционизм,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самосовершенствованию, зависимость от мнения окружающих. На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ранних </w:t>
      </w:r>
      <w:proofErr w:type="gramStart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этапах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</w:t>
      </w:r>
      <w:proofErr w:type="gramEnd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больных этой группы можно было отметить признаки </w:t>
      </w:r>
      <w:proofErr w:type="spellStart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субдепрессии</w:t>
      </w:r>
      <w:proofErr w:type="spellEnd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случаях из 11, которые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сопровождались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дисфорическими реакциями, конфликтностью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углубления проявлений депрессивной симптоматики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НПП становилась более </w:t>
      </w:r>
      <w:proofErr w:type="gramStart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выраженными  и</w:t>
      </w:r>
      <w:proofErr w:type="gramEnd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сопровождаясь идеями собственной неполноценности, мыслями о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некрасивости и даже уродстве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чувством вины. Появление </w:t>
      </w:r>
      <w:proofErr w:type="spellStart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дисморфофобических</w:t>
      </w:r>
      <w:proofErr w:type="spellEnd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переживаний в период текущей депрессии отмечалось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пациенток.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пониженного настроения на этапе активной коррекции у части пациенток сменился кратковременными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«окнами» </w:t>
      </w:r>
      <w:proofErr w:type="spellStart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гипертимии</w:t>
      </w:r>
      <w:proofErr w:type="spellEnd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снижении массы тела.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Отграничение в режиме питания сопровождалось формированием компенсаторного поведения, в виде повышения физических нагрузок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3-х случаях отмечалось применение </w:t>
      </w:r>
      <w:proofErr w:type="spellStart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анорексигенных</w:t>
      </w:r>
      <w:proofErr w:type="spellEnd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фармакологических препаратов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углублении</w:t>
      </w:r>
      <w:proofErr w:type="gramEnd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депрессии, 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превалирующими в их структуре становились тревога и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апатия. Измеренный у больных индекс массы тела (ИМТ) свидетельствовал о наличии гипотрофии 1-й степени (ИМТ 17,5—18,9) — у 3 (11,1%) человек, гипотрофии 2-й степени (ИМТ 15,5—17,4) у 2 (7,4%)</w:t>
      </w:r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 </w:t>
      </w:r>
      <w:proofErr w:type="gramStart"/>
      <w:r w:rsidR="00C9750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остальных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пациенток</w:t>
      </w:r>
      <w:proofErr w:type="gramEnd"/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тела была в пределах нормы. </w:t>
      </w:r>
    </w:p>
    <w:p w14:paraId="2B50E303" w14:textId="77777777" w:rsidR="00B07D9F" w:rsidRPr="007B0C9A" w:rsidRDefault="00C9750D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Вторую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группу составили </w:t>
      </w:r>
      <w:r w:rsidR="00813B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пациентки с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депрессивным эпизодом с НПП в рамках</w:t>
      </w:r>
      <w:r w:rsidR="00813B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4D39"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шизотипического</w:t>
      </w:r>
      <w:proofErr w:type="spellEnd"/>
      <w:r w:rsidR="00813B00"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расстройств</w:t>
      </w:r>
      <w:r w:rsidR="000B4D39"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13B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пациентов (27,7%) по МКБ-10 рубрика (F21.3 — F21.4). 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 больных в</w:t>
      </w:r>
      <w:r w:rsidR="00813B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группе был выше, чем в первой и составил от 19 до 30 лет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Наследственная отягощенность психическим</w:t>
      </w:r>
      <w:r w:rsidR="00813B00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заболеваниями выявлялась у 7 (46,7%) пациенток</w:t>
      </w:r>
      <w:r w:rsidR="00EC4805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группе у родственников наиболее часто из собственно психических заболеваний встречались шизофрения и обсессивно-</w:t>
      </w:r>
      <w:proofErr w:type="spell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фобическое</w:t>
      </w:r>
      <w:proofErr w:type="spell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расстройство. 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5 (33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,3%) пациенток отмечались депрессивные и </w:t>
      </w:r>
      <w:proofErr w:type="spellStart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субдепре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ссивные</w:t>
      </w:r>
      <w:proofErr w:type="spellEnd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в прошлом, у 2 </w:t>
      </w:r>
      <w:proofErr w:type="gramStart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имели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proofErr w:type="gramEnd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фазные 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расстройства </w:t>
      </w:r>
      <w:proofErr w:type="spellStart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циклотимического</w:t>
      </w:r>
      <w:proofErr w:type="spellEnd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уровня, причем в периоды </w:t>
      </w:r>
      <w:proofErr w:type="spellStart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гипом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аниакальных</w:t>
      </w:r>
      <w:proofErr w:type="spellEnd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больные легко худели, с развитием </w:t>
      </w:r>
      <w:proofErr w:type="spellStart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депрессивных</w:t>
      </w:r>
      <w:proofErr w:type="spellEnd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эпизодов масса тела могла значительно увеличиться.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большинства больных в </w:t>
      </w:r>
      <w:proofErr w:type="spell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преморбиде</w:t>
      </w:r>
      <w:proofErr w:type="spell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обнаруживались шизоидные и астенические черты личности: малая общительность, замкнутость, </w:t>
      </w:r>
      <w:proofErr w:type="spell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сенситивность</w:t>
      </w:r>
      <w:proofErr w:type="spell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впечатлительность. У всех пациентов этой группы была отмечена </w:t>
      </w:r>
      <w:proofErr w:type="spell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дефицитарная</w:t>
      </w:r>
      <w:proofErr w:type="spell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proofErr w:type="gram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эмоциональной холодностью, ограничением социальных контактов, нарушениями мышления. Больные отличались замкнутостью, малой общительностью, утратой прежних интересов, снижением продуктивности.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Депрессивная симптоматика была бол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выраженной, чем у больных первой группы, преобладали тревожная и дисфорическая симптоматика, с признаками витальности, суточным ритмом, с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влечений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этой группе больных часто развивалась «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вомитомания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навязчивое или 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компульсивное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влечение к рвотам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Особенностью данной группы больных было вызванное 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НПП снижение социальной активности и профессиональная дезадаптация. 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8 (53,3%) пациентов НПП проявлялось наряду с 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дисморфофобическими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идеями, приближающиеся по критериям к 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паранойяльнму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бреду.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Обращала на себя внимание диссоциация поведения: при упорном нежелании прибавлять в массе тела, чтобы «сохранить фигуру», больные практически не следили за собой. 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части пациенток — 6 (40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— патологическое влечение к еде сопровождалось другими </w:t>
      </w:r>
      <w:proofErr w:type="spellStart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коморбидными</w:t>
      </w:r>
      <w:proofErr w:type="spellEnd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ойствами влечений (алкогольные эксцессы, </w:t>
      </w:r>
      <w:proofErr w:type="spellStart"/>
      <w:proofErr w:type="gramStart"/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гемблинг</w:t>
      </w:r>
      <w:proofErr w:type="spellEnd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промискуитет</w:t>
      </w:r>
      <w:proofErr w:type="gramEnd"/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4D39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ПАВ)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средний ИМТ составлял гипотрофии 1 степени у 1 (6,6%) пациентки, гипотрофия 2-й степени отмечалась у 10 пациентов (66,6%), гипотрофия 3-й </w:t>
      </w:r>
      <w:proofErr w:type="gramStart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 —</w:t>
      </w:r>
      <w:proofErr w:type="gramEnd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 (13,2%), у 2 — нормальная масса тела. </w:t>
      </w:r>
    </w:p>
    <w:p w14:paraId="5921C1D4" w14:textId="77777777" w:rsidR="00D021E4" w:rsidRPr="007B0C9A" w:rsidRDefault="005C69B0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Третью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группу составили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пациентов с диагнозом эндогенной депрессии с НПП в рамках Биполярного аффективного расстройства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(F31) 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пациентов (42,8%), и в рамках рекуррентного депрессивного расстройства или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манифестного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депрессивного </w:t>
      </w:r>
      <w:proofErr w:type="gram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эпизода 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F3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F33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16 больных (57,2%)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 больных оказался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сопоставим с возрастом пациентов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клинической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группы. У пациентов отмечалась достаточно хорошая для больных с эндогенной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патологией социальная и профессиональная адаптация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Наследственная отягощенность психическими заболеваниями была представлена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16 (57,1</w:t>
      </w:r>
      <w:proofErr w:type="gram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(26,7%)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 заболеван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манифестировало  депрессией с НПП, у 18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(64,3%)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НПП возникали  на более поздних этапах в диапазоне от  через 6 </w:t>
      </w:r>
      <w:proofErr w:type="spellStart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="008C7D1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 лет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преморбиде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отмечалось доминирование таких черт как тревожность, мнительность, склонность к гиперболизации негативных ситуаций, повышенное внимание к своему здоровью.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больных уже на раннем этапе бо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лезни имелась 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полидисморфомания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внешностью затрагивало не только вес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форма частей тела, рост), вплоть до формирования сверхценных идей. Развитие эпизода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пониженного настроения 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сопровождалось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напряженностью, 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появлением ощущения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враждебности со стороны окружающих, негативным отношением к близким, патологическими страхами. 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Депрессии отличались полиморфизмом и проявлялись такими симптомами, как дисфория, вялость, апатия, снижение побуждений, тоскливость.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компенсаторного поведения не становились самоцелью, по мере редукции депрессивной симптоматики </w:t>
      </w:r>
      <w:proofErr w:type="spellStart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дисморфофобическая</w:t>
      </w:r>
      <w:proofErr w:type="spellEnd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симптоматика </w:t>
      </w:r>
      <w:proofErr w:type="spellStart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дезактуализировалась</w:t>
      </w:r>
      <w:proofErr w:type="spellEnd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редуцировались проявления НПП. </w:t>
      </w:r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9 (32,1</w:t>
      </w:r>
      <w:proofErr w:type="gram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 пациенток</w:t>
      </w:r>
      <w:proofErr w:type="gram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</w:t>
      </w:r>
      <w:proofErr w:type="spellStart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булимической</w:t>
      </w:r>
      <w:proofErr w:type="spellEnd"/>
      <w:r w:rsidR="00D021E4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симптоматики было обусловлено невозможностью длительного ограничения в еде, сильным чувством голода  с усилением раздражительности, часто приступы перееданий провоцировались неприятными ситуациями и служили своего рода «разрядкой». </w:t>
      </w:r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</w:t>
      </w:r>
      <w:proofErr w:type="spellStart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стационирования</w:t>
      </w:r>
      <w:proofErr w:type="spellEnd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ИМТ соответствовал гипотрофии 1-й степени — у 6 (21,4%) человек, гипотрофия 2-й степени — у 10 (35,7%), еще у 7 (25,0%) пациентов — недостаток массы тела и нормальная масса тела была </w:t>
      </w:r>
      <w:proofErr w:type="gramStart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5</w:t>
      </w:r>
      <w:proofErr w:type="gramEnd"/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(33,3%).</w:t>
      </w:r>
    </w:p>
    <w:p w14:paraId="7F15D6C0" w14:textId="77777777" w:rsidR="00E1793D" w:rsidRPr="007B0C9A" w:rsidRDefault="00E1793D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корреляционного анализа между выраженностью депрессии и средними показателями возраста и ИМТ пациентов была выявлена положительная связь в 1-</w:t>
      </w:r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(r=0,96, p=0,028) и 3-ей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963823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(r=0,89, p=0,021)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3DC83CE" w14:textId="77777777" w:rsidR="004D059B" w:rsidRPr="007B0C9A" w:rsidRDefault="004D059B" w:rsidP="007B0C9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Алгоритм диагностики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067"/>
        <w:gridCol w:w="1477"/>
        <w:gridCol w:w="1766"/>
        <w:gridCol w:w="1470"/>
        <w:gridCol w:w="1548"/>
      </w:tblGrid>
      <w:tr w:rsidR="002A4E14" w:rsidRPr="007B0C9A" w14:paraId="2AB4B2BB" w14:textId="77777777" w:rsidTr="00B346CC">
        <w:tc>
          <w:tcPr>
            <w:tcW w:w="1809" w:type="dxa"/>
          </w:tcPr>
          <w:p w14:paraId="3DB939A6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Нозология </w:t>
            </w:r>
          </w:p>
        </w:tc>
        <w:tc>
          <w:tcPr>
            <w:tcW w:w="2067" w:type="dxa"/>
          </w:tcPr>
          <w:p w14:paraId="05E5578C" w14:textId="77777777" w:rsidR="002A4E14" w:rsidRPr="007B0C9A" w:rsidRDefault="002A4E14" w:rsidP="007B0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Психопатологический профиль депрессии</w:t>
            </w:r>
          </w:p>
        </w:tc>
        <w:tc>
          <w:tcPr>
            <w:tcW w:w="1477" w:type="dxa"/>
          </w:tcPr>
          <w:p w14:paraId="4A5C38DA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Вариант нарушения пищевого поведения</w:t>
            </w:r>
          </w:p>
        </w:tc>
        <w:tc>
          <w:tcPr>
            <w:tcW w:w="1766" w:type="dxa"/>
          </w:tcPr>
          <w:p w14:paraId="4EFDD65D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Психопатологический профиль </w:t>
            </w:r>
            <w:proofErr w:type="spellStart"/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коморбидный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депрессии</w:t>
            </w:r>
          </w:p>
        </w:tc>
        <w:tc>
          <w:tcPr>
            <w:tcW w:w="1470" w:type="dxa"/>
          </w:tcPr>
          <w:p w14:paraId="7B159F73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Сопуствующие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соматические нарушения </w:t>
            </w:r>
          </w:p>
        </w:tc>
        <w:tc>
          <w:tcPr>
            <w:tcW w:w="1548" w:type="dxa"/>
          </w:tcPr>
          <w:p w14:paraId="0792EDAD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Сопутствующие гормональные нарушения</w:t>
            </w:r>
          </w:p>
        </w:tc>
      </w:tr>
      <w:tr w:rsidR="002A4E14" w:rsidRPr="007B0C9A" w14:paraId="4DB1645A" w14:textId="77777777" w:rsidTr="00B346CC">
        <w:tc>
          <w:tcPr>
            <w:tcW w:w="1809" w:type="dxa"/>
          </w:tcPr>
          <w:p w14:paraId="71398234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Расстройства личности</w:t>
            </w:r>
          </w:p>
        </w:tc>
        <w:tc>
          <w:tcPr>
            <w:tcW w:w="2067" w:type="dxa"/>
          </w:tcPr>
          <w:p w14:paraId="4644EFAA" w14:textId="77777777" w:rsidR="002A4E14" w:rsidRPr="007B0C9A" w:rsidRDefault="001702AA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Дисфорическая депрессия, Тревожная депрессия</w:t>
            </w:r>
          </w:p>
        </w:tc>
        <w:tc>
          <w:tcPr>
            <w:tcW w:w="1477" w:type="dxa"/>
          </w:tcPr>
          <w:p w14:paraId="5DAB2074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</w:t>
            </w:r>
            <w:r w:rsidR="001702AA"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ограничениями в режиме питания</w:t>
            </w:r>
          </w:p>
        </w:tc>
        <w:tc>
          <w:tcPr>
            <w:tcW w:w="1766" w:type="dxa"/>
          </w:tcPr>
          <w:p w14:paraId="0908D7DD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Дисморфофобия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нрушения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влечений</w:t>
            </w:r>
          </w:p>
        </w:tc>
        <w:tc>
          <w:tcPr>
            <w:tcW w:w="1470" w:type="dxa"/>
          </w:tcPr>
          <w:p w14:paraId="334DE4F8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48" w:type="dxa"/>
          </w:tcPr>
          <w:p w14:paraId="4E55D3F6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+\-</w:t>
            </w:r>
          </w:p>
        </w:tc>
      </w:tr>
      <w:tr w:rsidR="002A4E14" w:rsidRPr="007B0C9A" w14:paraId="788405EA" w14:textId="77777777" w:rsidTr="00B346CC">
        <w:tc>
          <w:tcPr>
            <w:tcW w:w="1809" w:type="dxa"/>
          </w:tcPr>
          <w:p w14:paraId="29639E53" w14:textId="77777777" w:rsidR="002A4E14" w:rsidRPr="007B0C9A" w:rsidRDefault="002A4E14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Шизотипическое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расстройство</w:t>
            </w:r>
          </w:p>
        </w:tc>
        <w:tc>
          <w:tcPr>
            <w:tcW w:w="2067" w:type="dxa"/>
          </w:tcPr>
          <w:p w14:paraId="6DBD9085" w14:textId="77777777" w:rsidR="002A4E14" w:rsidRPr="007B0C9A" w:rsidRDefault="001702AA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Апатическая депрессия</w:t>
            </w:r>
          </w:p>
          <w:p w14:paraId="1C5E2B44" w14:textId="77777777" w:rsidR="001702AA" w:rsidRPr="007B0C9A" w:rsidRDefault="001702AA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Апато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-меланхолическая депрессия</w:t>
            </w:r>
          </w:p>
        </w:tc>
        <w:tc>
          <w:tcPr>
            <w:tcW w:w="1477" w:type="dxa"/>
          </w:tcPr>
          <w:p w14:paraId="63AE875F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НБ без очистительного поведения с неадекватными паттернами компенсаторного поведения</w:t>
            </w:r>
          </w:p>
        </w:tc>
        <w:tc>
          <w:tcPr>
            <w:tcW w:w="1766" w:type="dxa"/>
          </w:tcPr>
          <w:p w14:paraId="398C4624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Обсессивно-</w:t>
            </w: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компульсивные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расстройства, нарушения влечений</w:t>
            </w:r>
          </w:p>
        </w:tc>
        <w:tc>
          <w:tcPr>
            <w:tcW w:w="1470" w:type="dxa"/>
          </w:tcPr>
          <w:p w14:paraId="556BABDE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548" w:type="dxa"/>
          </w:tcPr>
          <w:p w14:paraId="1EAD46DB" w14:textId="77777777" w:rsidR="002A4E14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  <w:tr w:rsidR="00B346CC" w:rsidRPr="007B0C9A" w14:paraId="686ACA26" w14:textId="77777777" w:rsidTr="00B346CC">
        <w:tc>
          <w:tcPr>
            <w:tcW w:w="1809" w:type="dxa"/>
          </w:tcPr>
          <w:p w14:paraId="7BE3D159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</w:t>
            </w:r>
          </w:p>
        </w:tc>
        <w:tc>
          <w:tcPr>
            <w:tcW w:w="2067" w:type="dxa"/>
          </w:tcPr>
          <w:p w14:paraId="6DE34089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Тревожная депрессия</w:t>
            </w:r>
          </w:p>
        </w:tc>
        <w:tc>
          <w:tcPr>
            <w:tcW w:w="1477" w:type="dxa"/>
          </w:tcPr>
          <w:p w14:paraId="422FB5B1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с эпизодами переедания или компенсаторного поведения</w:t>
            </w:r>
          </w:p>
        </w:tc>
        <w:tc>
          <w:tcPr>
            <w:tcW w:w="1766" w:type="dxa"/>
            <w:vMerge w:val="restart"/>
          </w:tcPr>
          <w:p w14:paraId="3B5A0CC3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Дисморфофобия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Полидисморфомания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сверхценного уровня</w:t>
            </w:r>
          </w:p>
        </w:tc>
        <w:tc>
          <w:tcPr>
            <w:tcW w:w="1470" w:type="dxa"/>
          </w:tcPr>
          <w:p w14:paraId="08A856EE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548" w:type="dxa"/>
          </w:tcPr>
          <w:p w14:paraId="3D1BA3E1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+\-</w:t>
            </w:r>
          </w:p>
        </w:tc>
      </w:tr>
      <w:tr w:rsidR="00B346CC" w:rsidRPr="007B0C9A" w14:paraId="04E17CF0" w14:textId="77777777" w:rsidTr="00B346CC">
        <w:tc>
          <w:tcPr>
            <w:tcW w:w="1809" w:type="dxa"/>
          </w:tcPr>
          <w:p w14:paraId="63DA04B8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РДР, МДЭ</w:t>
            </w:r>
          </w:p>
        </w:tc>
        <w:tc>
          <w:tcPr>
            <w:tcW w:w="2067" w:type="dxa"/>
          </w:tcPr>
          <w:p w14:paraId="3DF3FCC8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Тревожгно</w:t>
            </w:r>
            <w:proofErr w:type="spellEnd"/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-апатическая депрессия</w:t>
            </w:r>
          </w:p>
        </w:tc>
        <w:tc>
          <w:tcPr>
            <w:tcW w:w="1477" w:type="dxa"/>
          </w:tcPr>
          <w:p w14:paraId="54355ABF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НБ с компенсаторным (очистительным) поведением</w:t>
            </w:r>
          </w:p>
        </w:tc>
        <w:tc>
          <w:tcPr>
            <w:tcW w:w="1766" w:type="dxa"/>
            <w:vMerge/>
          </w:tcPr>
          <w:p w14:paraId="1DE74647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70" w:type="dxa"/>
          </w:tcPr>
          <w:p w14:paraId="4C7FD30E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+/-</w:t>
            </w:r>
          </w:p>
        </w:tc>
        <w:tc>
          <w:tcPr>
            <w:tcW w:w="1548" w:type="dxa"/>
          </w:tcPr>
          <w:p w14:paraId="5ED0A1F1" w14:textId="77777777" w:rsidR="00B346CC" w:rsidRPr="007B0C9A" w:rsidRDefault="00B346CC" w:rsidP="007B0C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B0C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+\-</w:t>
            </w:r>
          </w:p>
        </w:tc>
      </w:tr>
    </w:tbl>
    <w:p w14:paraId="5982A341" w14:textId="77777777" w:rsidR="004D059B" w:rsidRPr="007B0C9A" w:rsidRDefault="004D059B" w:rsidP="007B0C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3BDEAEE" w14:textId="77777777" w:rsidR="004D059B" w:rsidRPr="007B0C9A" w:rsidRDefault="004D059B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A58AC" w14:textId="77777777" w:rsidR="004D059B" w:rsidRPr="007B0C9A" w:rsidRDefault="004D059B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87867" w14:textId="77777777" w:rsidR="002E0ED6" w:rsidRPr="007B0C9A" w:rsidRDefault="00E1793D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выписки пациентки продолжали наблюдаться амбулаторно, при этом они принимали поддерживающую терапию, получали индивидуальную психотерапию, рекомендации по диете и рациону питания. По данным катамнеза проводимое лечение было эффективным и привело к нормализации пищевого поведения, аффективного статуса и соматического состояния. </w:t>
      </w:r>
    </w:p>
    <w:p w14:paraId="310FF0EB" w14:textId="77777777" w:rsidR="002E0ED6" w:rsidRPr="007B0C9A" w:rsidRDefault="002E0ED6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14:paraId="4B9A379E" w14:textId="77777777" w:rsidR="002E0ED6" w:rsidRPr="007B0C9A" w:rsidRDefault="00E1793D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исследование позволяет говорить о том, что аффективная патология у больных с нарушениями пищевого поведения играет одну из определяющих ролей в клинической картине, динамике и прогнозе заболевания, являясь в некоторых случаях причиной рецидивов и перехода болезни в хроническое течение. При этом тяжелая депрессия чаще (свыше 70%) встречается у больных с нарушениями пищевого поведения п</w:t>
      </w:r>
      <w:r w:rsidR="002E0ED6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proofErr w:type="spellStart"/>
      <w:r w:rsidR="002E0ED6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шизотипическом</w:t>
      </w:r>
      <w:proofErr w:type="spellEnd"/>
      <w:r w:rsidR="002E0ED6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расстройстве, несколько реже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пациентов эндогенном </w:t>
      </w:r>
      <w:r w:rsidR="002E0ED6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аффективном 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заболевании </w:t>
      </w:r>
      <w:r w:rsidR="002E0ED6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фазных расстройствах при патологии личности</w:t>
      </w: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65496D7" w14:textId="77777777" w:rsidR="00B346CC" w:rsidRPr="007B0C9A" w:rsidRDefault="002E0ED6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Ранняя диагностика и предварительный прогноз для пациентов </w:t>
      </w:r>
      <w:proofErr w:type="gram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депрессивными эпизодами</w:t>
      </w:r>
      <w:proofErr w:type="gram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которых формируется феномен НПП </w:t>
      </w:r>
      <w:r w:rsidR="00E1793D"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производиться исходя из нозологической принадлежности, выраженности депрессивных и тревожных расстройств, а также сопутствующей соматической патологии.</w:t>
      </w:r>
    </w:p>
    <w:p w14:paraId="262BAC45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7C97C6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D7766C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E6F1DC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D98307" w14:textId="77777777" w:rsidR="007B0C9A" w:rsidRDefault="007B0C9A" w:rsidP="007B0C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8471EA" w14:textId="77777777" w:rsidR="007B0C9A" w:rsidRDefault="007B0C9A" w:rsidP="007B0C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131E0F" w14:textId="77777777" w:rsidR="00A510AA" w:rsidRPr="007B0C9A" w:rsidRDefault="00CA232F" w:rsidP="007B0C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9A">
        <w:rPr>
          <w:rFonts w:ascii="Times New Roman" w:hAnsi="Times New Roman" w:cs="Times New Roman"/>
          <w:sz w:val="28"/>
          <w:szCs w:val="28"/>
        </w:rPr>
        <w:lastRenderedPageBreak/>
        <w:t>Таблица 1. Физические осложнения НПП</w:t>
      </w:r>
    </w:p>
    <w:tbl>
      <w:tblPr>
        <w:tblpPr w:leftFromText="180" w:rightFromText="180" w:horzAnchor="margin" w:tblpY="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590"/>
        <w:gridCol w:w="4534"/>
      </w:tblGrid>
      <w:tr w:rsidR="00CA232F" w:rsidRPr="007B0C9A" w14:paraId="5498E3EA" w14:textId="77777777" w:rsidTr="00CA232F">
        <w:tc>
          <w:tcPr>
            <w:tcW w:w="2235" w:type="dxa"/>
          </w:tcPr>
          <w:p w14:paraId="7B750F8B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7B0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518" w:type="dxa"/>
          </w:tcPr>
          <w:p w14:paraId="54E24F7D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4853" w:type="dxa"/>
          </w:tcPr>
          <w:p w14:paraId="09106254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</w:tr>
      <w:tr w:rsidR="00CA232F" w:rsidRPr="007B0C9A" w14:paraId="7D00CBB1" w14:textId="77777777" w:rsidTr="00CA232F">
        <w:tc>
          <w:tcPr>
            <w:tcW w:w="2235" w:type="dxa"/>
          </w:tcPr>
          <w:p w14:paraId="086C7914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Сердечно-сосудистая </w:t>
            </w:r>
          </w:p>
        </w:tc>
        <w:tc>
          <w:tcPr>
            <w:tcW w:w="2518" w:type="dxa"/>
          </w:tcPr>
          <w:p w14:paraId="446DAB6A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слабость, сердцебиение</w:t>
            </w:r>
          </w:p>
        </w:tc>
        <w:tc>
          <w:tcPr>
            <w:tcW w:w="4853" w:type="dxa"/>
          </w:tcPr>
          <w:p w14:paraId="3E55CF5C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аритмии</w:t>
            </w:r>
          </w:p>
        </w:tc>
      </w:tr>
      <w:tr w:rsidR="00CA232F" w:rsidRPr="007B0C9A" w14:paraId="7DC7FB42" w14:textId="77777777" w:rsidTr="00CA232F">
        <w:tc>
          <w:tcPr>
            <w:tcW w:w="2235" w:type="dxa"/>
          </w:tcPr>
          <w:p w14:paraId="22934C40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Желудочно-кишечная</w:t>
            </w:r>
          </w:p>
        </w:tc>
        <w:tc>
          <w:tcPr>
            <w:tcW w:w="2518" w:type="dxa"/>
          </w:tcPr>
          <w:p w14:paraId="07E0EBF9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Изжога, рефлюкс, изредка прожилки крови в рвотных массах, боли в желудке и дискомфорт у прибегающих к рвоте, изредка непроизвольная рвота, запор, нерегулярный стул, вздутие у злоупотребляющих слабительными; </w:t>
            </w:r>
          </w:p>
        </w:tc>
        <w:tc>
          <w:tcPr>
            <w:tcW w:w="4853" w:type="dxa"/>
          </w:tcPr>
          <w:p w14:paraId="5AC97630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слюнных желез, изредка рвота с прожилками крови, возможно, гастрит, эзофагит, при злоупотреблении рвотой возможно нарушения моторики кишечника и </w:t>
            </w:r>
            <w:proofErr w:type="spellStart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меланозный</w:t>
            </w:r>
            <w:proofErr w:type="spellEnd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 колит</w:t>
            </w:r>
          </w:p>
        </w:tc>
      </w:tr>
      <w:tr w:rsidR="00CA232F" w:rsidRPr="007B0C9A" w14:paraId="471EEEE0" w14:textId="77777777" w:rsidTr="00CA232F">
        <w:tc>
          <w:tcPr>
            <w:tcW w:w="2235" w:type="dxa"/>
          </w:tcPr>
          <w:p w14:paraId="7BFEFB6C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Наружные покровы</w:t>
            </w:r>
          </w:p>
        </w:tc>
        <w:tc>
          <w:tcPr>
            <w:tcW w:w="2518" w:type="dxa"/>
          </w:tcPr>
          <w:p w14:paraId="00006688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2A6A3278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Рубцы на дорсальной стороне ладони (синдром </w:t>
            </w:r>
            <w:proofErr w:type="spellStart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Руссела</w:t>
            </w:r>
            <w:proofErr w:type="spellEnd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), петехии, </w:t>
            </w:r>
            <w:proofErr w:type="spellStart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коньюктивальные</w:t>
            </w:r>
            <w:proofErr w:type="spellEnd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 геморрагии вскоре после рвоты</w:t>
            </w:r>
          </w:p>
        </w:tc>
      </w:tr>
      <w:tr w:rsidR="00CA232F" w:rsidRPr="007B0C9A" w14:paraId="5CC83A14" w14:textId="77777777" w:rsidTr="00CA232F">
        <w:tc>
          <w:tcPr>
            <w:tcW w:w="2235" w:type="dxa"/>
          </w:tcPr>
          <w:p w14:paraId="08BEE15E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Метаболизм</w:t>
            </w:r>
          </w:p>
        </w:tc>
        <w:tc>
          <w:tcPr>
            <w:tcW w:w="2518" w:type="dxa"/>
          </w:tcPr>
          <w:p w14:paraId="1DD88C65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Перепады в весе; редко проксимальная слабость, раздражительность, </w:t>
            </w:r>
            <w:r w:rsidRPr="007B0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судороги мышц </w:t>
            </w:r>
          </w:p>
        </w:tc>
        <w:tc>
          <w:tcPr>
            <w:tcW w:w="4853" w:type="dxa"/>
          </w:tcPr>
          <w:p w14:paraId="178ECFD7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Плохой тургор кожи, отеки, пастозность</w:t>
            </w:r>
          </w:p>
        </w:tc>
      </w:tr>
      <w:tr w:rsidR="00CA232F" w:rsidRPr="007B0C9A" w14:paraId="79B7F9C3" w14:textId="77777777" w:rsidTr="00CA232F">
        <w:tc>
          <w:tcPr>
            <w:tcW w:w="2235" w:type="dxa"/>
          </w:tcPr>
          <w:p w14:paraId="0868FC58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Мышечная</w:t>
            </w:r>
          </w:p>
        </w:tc>
        <w:tc>
          <w:tcPr>
            <w:tcW w:w="2518" w:type="dxa"/>
          </w:tcPr>
          <w:p w14:paraId="3EA55EBC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У злоупотребляющих ипекакуаной слабость, учащенное сердцебиение</w:t>
            </w:r>
          </w:p>
        </w:tc>
        <w:tc>
          <w:tcPr>
            <w:tcW w:w="4853" w:type="dxa"/>
          </w:tcPr>
          <w:p w14:paraId="693036EC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Мышечная слабость, периферическая миопатия</w:t>
            </w:r>
          </w:p>
        </w:tc>
      </w:tr>
      <w:tr w:rsidR="00CA232F" w:rsidRPr="007B0C9A" w14:paraId="29F491D4" w14:textId="77777777" w:rsidTr="00CA232F">
        <w:tc>
          <w:tcPr>
            <w:tcW w:w="2235" w:type="dxa"/>
          </w:tcPr>
          <w:p w14:paraId="21F59B9D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Ротоглотка</w:t>
            </w:r>
          </w:p>
        </w:tc>
        <w:tc>
          <w:tcPr>
            <w:tcW w:w="2518" w:type="dxa"/>
          </w:tcPr>
          <w:p w14:paraId="665F8D8E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Разрушение зубов, боли в глотке, отекшие щеки и шея (обычно безболезненные)</w:t>
            </w:r>
          </w:p>
        </w:tc>
        <w:tc>
          <w:tcPr>
            <w:tcW w:w="4853" w:type="dxa"/>
          </w:tcPr>
          <w:p w14:paraId="7AC67146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Кариес зубов с эрозией зубной эмали, особенно на внутренней поверхности резцов; эритема гортани; экскориации неба; увеличенные слюнные железы </w:t>
            </w:r>
          </w:p>
        </w:tc>
      </w:tr>
      <w:tr w:rsidR="00CA232F" w:rsidRPr="007B0C9A" w14:paraId="199DBE96" w14:textId="77777777" w:rsidTr="00CA232F">
        <w:tc>
          <w:tcPr>
            <w:tcW w:w="2235" w:type="dxa"/>
          </w:tcPr>
          <w:p w14:paraId="268B2E2F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Репродуктивная</w:t>
            </w:r>
          </w:p>
        </w:tc>
        <w:tc>
          <w:tcPr>
            <w:tcW w:w="2518" w:type="dxa"/>
          </w:tcPr>
          <w:p w14:paraId="44779572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Проблемы с фертильностью</w:t>
            </w:r>
          </w:p>
        </w:tc>
        <w:tc>
          <w:tcPr>
            <w:tcW w:w="4853" w:type="dxa"/>
          </w:tcPr>
          <w:p w14:paraId="3AACFE1F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Нестабильные/скудные менструации. </w:t>
            </w:r>
            <w:proofErr w:type="spellStart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Олигоменорея</w:t>
            </w:r>
            <w:proofErr w:type="spellEnd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 или аменорея</w:t>
            </w:r>
          </w:p>
        </w:tc>
      </w:tr>
      <w:tr w:rsidR="00CA232F" w:rsidRPr="007B0C9A" w14:paraId="64067DD2" w14:textId="77777777" w:rsidTr="007B0C9A">
        <w:trPr>
          <w:trHeight w:val="1984"/>
        </w:trPr>
        <w:tc>
          <w:tcPr>
            <w:tcW w:w="2235" w:type="dxa"/>
          </w:tcPr>
          <w:p w14:paraId="53A5335E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Скелетная</w:t>
            </w:r>
          </w:p>
        </w:tc>
        <w:tc>
          <w:tcPr>
            <w:tcW w:w="2518" w:type="dxa"/>
          </w:tcPr>
          <w:p w14:paraId="03B083CE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Боли в костях </w:t>
            </w:r>
            <w:proofErr w:type="gramStart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при  физической</w:t>
            </w:r>
            <w:proofErr w:type="gramEnd"/>
            <w:r w:rsidRPr="007B0C9A">
              <w:rPr>
                <w:rFonts w:ascii="Times New Roman" w:hAnsi="Times New Roman" w:cs="Times New Roman"/>
                <w:sz w:val="28"/>
                <w:szCs w:val="28"/>
              </w:rPr>
              <w:t xml:space="preserve"> нагрузке</w:t>
            </w:r>
          </w:p>
        </w:tc>
        <w:tc>
          <w:tcPr>
            <w:tcW w:w="4853" w:type="dxa"/>
          </w:tcPr>
          <w:p w14:paraId="25BD2378" w14:textId="77777777" w:rsidR="00CA232F" w:rsidRPr="007B0C9A" w:rsidRDefault="00CA232F" w:rsidP="007B0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A">
              <w:rPr>
                <w:rFonts w:ascii="Times New Roman" w:hAnsi="Times New Roman" w:cs="Times New Roman"/>
                <w:sz w:val="28"/>
                <w:szCs w:val="28"/>
              </w:rPr>
              <w:t>Болевые точки, небольшой рост, задержка роста скелета</w:t>
            </w:r>
          </w:p>
        </w:tc>
      </w:tr>
    </w:tbl>
    <w:p w14:paraId="6815C936" w14:textId="77777777" w:rsidR="00CA232F" w:rsidRPr="007B0C9A" w:rsidRDefault="00CA232F" w:rsidP="007B0C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51A59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609A3A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09915E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1A8503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6D90F7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5F3B81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7AB3BC" w14:textId="77777777" w:rsid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Список использованных источников; </w:t>
      </w:r>
    </w:p>
    <w:p w14:paraId="2B4DEE0B" w14:textId="77777777" w:rsidR="007B0C9A" w:rsidRPr="007B0C9A" w:rsidRDefault="007B0C9A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Miller</w:t>
      </w:r>
      <w:r w:rsidRPr="00DD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KK</w:t>
      </w:r>
      <w:r w:rsidRPr="00DD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(2013). </w:t>
      </w:r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«Endocrine effects of anorexia nervosa». Endocrinol. </w:t>
      </w:r>
      <w:proofErr w:type="spellStart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Metab</w:t>
      </w:r>
      <w:proofErr w:type="spellEnd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Clin. North Am. 42 (3): 515–28. </w:t>
      </w:r>
      <w:proofErr w:type="gramStart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doi:10.1016/j.ecl</w:t>
      </w:r>
      <w:proofErr w:type="gramEnd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.2013.05.007. PMC 3769686. PMID 24011884. </w:t>
      </w:r>
    </w:p>
    <w:p w14:paraId="67B1DF0E" w14:textId="77777777" w:rsidR="007B0C9A" w:rsidRPr="007B0C9A" w:rsidRDefault="007B0C9A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Brooks</w:t>
      </w:r>
      <w:proofErr w:type="spellEnd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S, Prince A, Stahl D, Campbell IC, Treasure J (2010). «A systematic review &amp; meta-analysis of cognitive bias to food stimuli in people with disordered eating </w:t>
      </w:r>
      <w:proofErr w:type="spellStart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behaviour</w:t>
      </w:r>
      <w:proofErr w:type="spellEnd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Clinical Psychology 31 (1): 37–51. </w:t>
      </w:r>
      <w:proofErr w:type="gramStart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doi:10.1016/j.cpr</w:t>
      </w:r>
      <w:proofErr w:type="gramEnd"/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.2010.09.006. PMID 21130935. </w:t>
      </w:r>
    </w:p>
    <w:p w14:paraId="2DC70BBB" w14:textId="77777777" w:rsidR="007B0C9A" w:rsidRPr="007B0C9A" w:rsidRDefault="007B0C9A" w:rsidP="007B0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0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Hasan TF, Hasan H (2011). «Anorexia nervosa: a unified neurological perspective». Int J Med Sci 8 (8): 679–703. doi:10.7150/ijms.8.679. PMC 3204438. PMID 22135615. </w:t>
      </w:r>
    </w:p>
    <w:p w14:paraId="4819D123" w14:textId="77777777" w:rsidR="007B0C9A" w:rsidRP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Kreipe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R.E.,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Birndorf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S.A. Eating disorders in adolescents and young adults. Med Clin North Am 2000; 84: 4: 1027—1049. </w:t>
      </w:r>
    </w:p>
    <w:p w14:paraId="2178FB24" w14:textId="77777777" w:rsidR="007B0C9A" w:rsidRP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Mitchell J.E., Peterson C.B., Myers T.,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Wonderlich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S. Combining pharmacotherapy and psychotherapy in the treatment of patients with eating disorders. </w:t>
      </w:r>
      <w:proofErr w:type="spellStart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Psychiat</w:t>
      </w:r>
      <w:proofErr w:type="spellEnd"/>
      <w:r w:rsidRPr="007B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Clin North Am 2001; 24: 2: 315—323. </w:t>
      </w:r>
    </w:p>
    <w:p w14:paraId="39475C3C" w14:textId="77777777" w:rsidR="007B0C9A" w:rsidRP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AA4091" w14:textId="77777777" w:rsidR="007B0C9A" w:rsidRPr="007B0C9A" w:rsidRDefault="007B0C9A" w:rsidP="007B0C9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7BBB30" w14:textId="77777777" w:rsidR="00A510AA" w:rsidRPr="007B0C9A" w:rsidRDefault="00A510AA" w:rsidP="007B0C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90956" w14:textId="77777777" w:rsidR="00A510AA" w:rsidRPr="007B0C9A" w:rsidRDefault="00A510AA" w:rsidP="007B0C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81902" w14:textId="77777777" w:rsidR="00A510AA" w:rsidRPr="007B0C9A" w:rsidRDefault="00A510AA" w:rsidP="007B0C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449B9" w14:textId="77777777" w:rsidR="00A510AA" w:rsidRPr="007B0C9A" w:rsidRDefault="00A510AA" w:rsidP="007B0C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D42E9" w14:textId="77777777" w:rsidR="00A510AA" w:rsidRPr="007B0C9A" w:rsidRDefault="00A510AA" w:rsidP="007B0C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10AA" w:rsidRPr="007B0C9A" w:rsidSect="007B0C9A">
      <w:pgSz w:w="11906" w:h="16838" w:code="9"/>
      <w:pgMar w:top="1134" w:right="1133" w:bottom="1134" w:left="1418" w:header="720" w:footer="720" w:gutter="0"/>
      <w:cols w:space="708"/>
      <w:vAlign w:val="center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16890"/>
    <w:multiLevelType w:val="multilevel"/>
    <w:tmpl w:val="699C2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3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59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8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608" w:hanging="2160"/>
      </w:pPr>
      <w:rPr>
        <w:rFonts w:hint="default"/>
        <w:b w:val="0"/>
      </w:rPr>
    </w:lvl>
  </w:abstractNum>
  <w:num w:numId="1" w16cid:durableId="28050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AA"/>
    <w:rsid w:val="000B4D39"/>
    <w:rsid w:val="00142145"/>
    <w:rsid w:val="001702AA"/>
    <w:rsid w:val="00194B73"/>
    <w:rsid w:val="001961CD"/>
    <w:rsid w:val="00196A79"/>
    <w:rsid w:val="0021342B"/>
    <w:rsid w:val="002A4E14"/>
    <w:rsid w:val="002E0ED6"/>
    <w:rsid w:val="003541A9"/>
    <w:rsid w:val="004D059B"/>
    <w:rsid w:val="004E5855"/>
    <w:rsid w:val="00557A3E"/>
    <w:rsid w:val="005C69B0"/>
    <w:rsid w:val="006334F4"/>
    <w:rsid w:val="00660FDA"/>
    <w:rsid w:val="0068554F"/>
    <w:rsid w:val="00745262"/>
    <w:rsid w:val="007B0C9A"/>
    <w:rsid w:val="00813B00"/>
    <w:rsid w:val="008C7D14"/>
    <w:rsid w:val="0095008B"/>
    <w:rsid w:val="00963823"/>
    <w:rsid w:val="00996300"/>
    <w:rsid w:val="00A510AA"/>
    <w:rsid w:val="00AA191C"/>
    <w:rsid w:val="00B07D9F"/>
    <w:rsid w:val="00B114EE"/>
    <w:rsid w:val="00B120C8"/>
    <w:rsid w:val="00B346CC"/>
    <w:rsid w:val="00B634F3"/>
    <w:rsid w:val="00C9750D"/>
    <w:rsid w:val="00CA232F"/>
    <w:rsid w:val="00CD402C"/>
    <w:rsid w:val="00D021E4"/>
    <w:rsid w:val="00DA7C22"/>
    <w:rsid w:val="00DD227F"/>
    <w:rsid w:val="00DD54C3"/>
    <w:rsid w:val="00DD6A48"/>
    <w:rsid w:val="00E1793D"/>
    <w:rsid w:val="00EC4805"/>
    <w:rsid w:val="00ED3129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3A0"/>
  <w15:docId w15:val="{5DBEA023-BF8D-4DED-8FFE-AC0F59F5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62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660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94B73"/>
    <w:rPr>
      <w:color w:val="0000FF"/>
      <w:u w:val="single"/>
    </w:rPr>
  </w:style>
  <w:style w:type="table" w:styleId="a5">
    <w:name w:val="Table Grid"/>
    <w:basedOn w:val="a1"/>
    <w:uiPriority w:val="59"/>
    <w:rsid w:val="002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9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9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Омельченко Мария Анатольевна</cp:lastModifiedBy>
  <cp:revision>2</cp:revision>
  <dcterms:created xsi:type="dcterms:W3CDTF">2022-08-05T10:03:00Z</dcterms:created>
  <dcterms:modified xsi:type="dcterms:W3CDTF">2022-08-05T10:03:00Z</dcterms:modified>
</cp:coreProperties>
</file>